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E4C44">
            <w:pPr>
              <w:jc w:val="center"/>
            </w:pPr>
            <w:r>
              <w:rPr>
                <w:b/>
                <w:bCs/>
              </w:rPr>
              <w:t>BỘ TÀI CHÍNH</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E4C44">
            <w:pPr>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E4C44">
            <w:pPr>
              <w:jc w:val="center"/>
            </w:pPr>
            <w:r>
              <w:t>Số: 27/2019/TT-BTC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E4C44">
            <w:pPr>
              <w:jc w:val="right"/>
            </w:pPr>
            <w:r>
              <w:rPr>
                <w:i/>
                <w:iCs/>
              </w:rPr>
              <w:t>Hà Nội, ngày 14 tháng 5 năm 2019</w:t>
            </w:r>
          </w:p>
        </w:tc>
      </w:tr>
    </w:tbl>
    <w:p w:rsidR="00000000" w:rsidRDefault="00FE4C44">
      <w:pPr>
        <w:spacing w:after="120"/>
      </w:pPr>
      <w:r>
        <w:t> </w:t>
      </w:r>
    </w:p>
    <w:p w:rsidR="00000000" w:rsidRDefault="00FE4C44">
      <w:pPr>
        <w:spacing w:after="120"/>
        <w:jc w:val="center"/>
      </w:pPr>
      <w:r>
        <w:rPr>
          <w:b/>
          <w:bCs/>
        </w:rPr>
        <w:t>THÔNG TƯ</w:t>
      </w:r>
    </w:p>
    <w:p w:rsidR="00000000" w:rsidRDefault="00FE4C44">
      <w:pPr>
        <w:spacing w:after="120"/>
        <w:jc w:val="center"/>
      </w:pPr>
      <w:r>
        <w:t>SỬA ĐỔI, BỔ SUNG MỘT SỐ ĐIỀU CỦA THÔNG TƯ SỐ 246/2016/TT-BTC NGÀY 11 THÁNG 11 NĂM 2016 QU</w:t>
      </w:r>
      <w:r>
        <w:t>Y ĐỊNH MỨC THU, CHẾ ĐỘ THU, NỘP, QUẢN LÝ VÀ SỬ DỤNG PHÍ KIỂM TRA, ĐÁNH GIÁ, CẤP GIẤY CHỨNG NHẬN QUỐC TẾ VỀ AN NINH TÀU BIỂN VÀ THÔNG TƯ SỐ 247/2016/TT-BTC NGÀY 11 THÁNG 11 NĂM 2016 QUY ĐỊNH MỨC THU, CHẾ ĐỘ THU, NỘP, QUẢN LÝ VÀ SỬ DỤNG PHÍ NHƯỢNG QUYỀN KHAI</w:t>
      </w:r>
      <w:r>
        <w:t xml:space="preserve"> THÁC CẢNG HÀNG KHÔNG, SÂN BAY</w:t>
      </w:r>
    </w:p>
    <w:p w:rsidR="00000000" w:rsidRDefault="00FE4C44">
      <w:pPr>
        <w:spacing w:after="120"/>
      </w:pPr>
      <w:r>
        <w:rPr>
          <w:i/>
          <w:iCs/>
        </w:rPr>
        <w:t>Căn cứ Luật phí và lệ phí ngày 25 tháng 11 năm 2015;</w:t>
      </w:r>
    </w:p>
    <w:p w:rsidR="00000000" w:rsidRDefault="00FE4C44">
      <w:pPr>
        <w:spacing w:after="120"/>
      </w:pPr>
      <w:r>
        <w:rPr>
          <w:i/>
          <w:iCs/>
        </w:rPr>
        <w:t>Căn cứ Nghị định số 12/2017/NĐ-CP ngày 10 tháng 02 năm 2017 của Chính phủ quy định chức năng, nhiệm vụ, quyền hạn và cơ cấu tổ chức của Bộ Giao thông vận tải;</w:t>
      </w:r>
    </w:p>
    <w:p w:rsidR="00000000" w:rsidRDefault="00FE4C44">
      <w:pPr>
        <w:spacing w:after="120"/>
      </w:pPr>
      <w:r>
        <w:rPr>
          <w:i/>
          <w:iCs/>
        </w:rPr>
        <w:t>Căn cứ Nghị đ</w:t>
      </w:r>
      <w:r>
        <w:rPr>
          <w:i/>
          <w:iCs/>
        </w:rPr>
        <w:t>ịnh số 87/2017/NĐ-CP ngày 26 tháng 7 năm 2017 của Chính phủ quy định chức năng, nhiệm vụ, quyền hạn và cơ cấu tổ chức của Bộ Tài chính;</w:t>
      </w:r>
    </w:p>
    <w:p w:rsidR="00000000" w:rsidRDefault="00FE4C44">
      <w:pPr>
        <w:spacing w:after="120"/>
      </w:pPr>
      <w:r>
        <w:rPr>
          <w:i/>
          <w:iCs/>
        </w:rPr>
        <w:t>Theo đề nghị của Vụ trưởng Vụ Chính sách thuế;</w:t>
      </w:r>
    </w:p>
    <w:p w:rsidR="00000000" w:rsidRDefault="00FE4C44">
      <w:pPr>
        <w:spacing w:after="120"/>
      </w:pPr>
      <w:r>
        <w:rPr>
          <w:i/>
          <w:iCs/>
        </w:rPr>
        <w:t>Bộ trưởng Bộ Tài chính ban hành Thông tư sửa đổi, bổ sung một số điều của</w:t>
      </w:r>
      <w:r>
        <w:rPr>
          <w:i/>
          <w:iCs/>
        </w:rPr>
        <w:t xml:space="preserve"> Thông tư số 246/2016/TT-BTC ngày 11 tháng 11 năm 2016 quy định mức thu, chế độ thu, nộp, quản lý và sử dụng phí kiểm tra, đánh giá, cấp giấy chứng nhận quốc tế về an ninh tàu biển và Thông tư số 247/2016/TT-BTC ngày 11 tháng 11 năm 2016 quy định mức thu, </w:t>
      </w:r>
      <w:r>
        <w:rPr>
          <w:i/>
          <w:iCs/>
        </w:rPr>
        <w:t>chế độ thu, nộp, quản lý và sử dụng phí nhượng quyền khai thác cảng hàng không, sân bay.</w:t>
      </w:r>
    </w:p>
    <w:p w:rsidR="00000000" w:rsidRDefault="00FE4C44">
      <w:pPr>
        <w:spacing w:after="280" w:afterAutospacing="1"/>
      </w:pPr>
      <w:r>
        <w:rPr>
          <w:b/>
          <w:bCs/>
          <w:lang w:val="vi-VN"/>
        </w:rPr>
        <w:t xml:space="preserve">Điều 1. Sửa đổi, bổ sung </w:t>
      </w:r>
      <w:bookmarkStart w:id="0" w:name="dc_1"/>
      <w:r>
        <w:rPr>
          <w:b/>
          <w:bCs/>
          <w:lang w:val="vi-VN"/>
        </w:rPr>
        <w:t>Điều 6 Thông tư số 246/2016/TT-BTC</w:t>
      </w:r>
      <w:bookmarkEnd w:id="0"/>
      <w:r>
        <w:rPr>
          <w:b/>
          <w:bCs/>
          <w:lang w:val="nl-NL"/>
        </w:rPr>
        <w:t xml:space="preserve"> ngày 11 tháng 11 năm 2016 của Bộ trưởng Bộ Tài chính quy định mức thu, chế độ thu, nộp, quản lý và sử dụng </w:t>
      </w:r>
      <w:r>
        <w:rPr>
          <w:b/>
          <w:bCs/>
          <w:lang w:val="nl-NL"/>
        </w:rPr>
        <w:t>phí kiểm tra, đánh giá, cấp giấy chứng nhận quốc tế về an ninh tàu biển</w:t>
      </w:r>
    </w:p>
    <w:p w:rsidR="00000000" w:rsidRDefault="00FE4C44">
      <w:pPr>
        <w:spacing w:after="120"/>
      </w:pPr>
      <w:r>
        <w:rPr>
          <w:lang w:val="vi-VN"/>
        </w:rPr>
        <w:t>“</w:t>
      </w:r>
      <w:r>
        <w:rPr>
          <w:b/>
          <w:bCs/>
          <w:lang w:val="vi-VN"/>
        </w:rPr>
        <w:t>Điều 6. Quản lý và sử dụng phí</w:t>
      </w:r>
    </w:p>
    <w:p w:rsidR="00000000" w:rsidRDefault="00FE4C44">
      <w:pPr>
        <w:spacing w:after="120"/>
      </w:pPr>
      <w:r>
        <w:rPr>
          <w:lang w:val="nl-NL"/>
        </w:rPr>
        <w:t xml:space="preserve">1. Tổ chức thu phí được để lại 50%số tiền phí thu được, để chi cho hoạt động cung cấp dịch vụ, thu phí. Số tiền để lại được quản lý và sử dụng theo quy </w:t>
      </w:r>
      <w:r>
        <w:rPr>
          <w:lang w:val="nl-NL"/>
        </w:rPr>
        <w:t xml:space="preserve">định tại </w:t>
      </w:r>
      <w:bookmarkStart w:id="1" w:name="dc_2"/>
      <w:r>
        <w:rPr>
          <w:lang w:val="nl-NL"/>
        </w:rPr>
        <w:t>Điều 5 Nghị định số 120/2016/NĐ-CP</w:t>
      </w:r>
      <w:bookmarkEnd w:id="1"/>
      <w:r>
        <w:rPr>
          <w:lang w:val="nl-NL"/>
        </w:rPr>
        <w:t xml:space="preserve"> ngày 23 tháng 8 năm 2016 của Chính phủ quy định chi tiết và hướng dẫn thi hành một số điều của Luật phí và lệ phí.</w:t>
      </w:r>
    </w:p>
    <w:p w:rsidR="00000000" w:rsidRDefault="00FE4C44">
      <w:pPr>
        <w:spacing w:after="120"/>
      </w:pPr>
      <w:r>
        <w:rPr>
          <w:lang w:val="nl-NL"/>
        </w:rPr>
        <w:t>2. Tổ chức thu phí thực hiện nộp 50% số tiền phí thu được vào ngân sách nhà nước theo Chương, mục</w:t>
      </w:r>
      <w:r>
        <w:rPr>
          <w:lang w:val="nl-NL"/>
        </w:rPr>
        <w:t xml:space="preserve">, tiểu mục của Mục lục ngân sách nhà nước. Thời điểm nộp phí theo hướng dẫn tại </w:t>
      </w:r>
      <w:bookmarkStart w:id="2" w:name="dc_3"/>
      <w:r>
        <w:rPr>
          <w:lang w:val="nl-NL"/>
        </w:rPr>
        <w:t>khoản 2 Điều 26 Thông tư số 156/2013/TT-BTC</w:t>
      </w:r>
      <w:bookmarkEnd w:id="2"/>
      <w:r>
        <w:rPr>
          <w:lang w:val="nl-NL"/>
        </w:rPr>
        <w:t xml:space="preserve"> ngày 06 tháng 11 năm 2013 của Bộ trưởng Bộ Tài chính hướng dẫn thi hành một số điều của Luật quản lý thuế; Luật sửa đổi, bổ sung một</w:t>
      </w:r>
      <w:r>
        <w:rPr>
          <w:lang w:val="nl-NL"/>
        </w:rPr>
        <w:t xml:space="preserve"> số điều của Luật quản lý thuế và Nghị định số 83/2013/NĐ-CP ngày 22 tháng 7 năm 2013 của Chính phủ.”</w:t>
      </w:r>
    </w:p>
    <w:p w:rsidR="00000000" w:rsidRDefault="00FE4C44">
      <w:pPr>
        <w:spacing w:after="120"/>
      </w:pPr>
      <w:r>
        <w:rPr>
          <w:b/>
          <w:bCs/>
          <w:lang w:val="vi-VN"/>
        </w:rPr>
        <w:t xml:space="preserve">Điều 2. Sửa đổi, bổ sung </w:t>
      </w:r>
      <w:bookmarkStart w:id="3" w:name="dc_4"/>
      <w:r>
        <w:rPr>
          <w:b/>
          <w:bCs/>
          <w:lang w:val="vi-VN"/>
        </w:rPr>
        <w:t>Điều 6Thông tư số 247/2016/TT-BTC</w:t>
      </w:r>
      <w:bookmarkEnd w:id="3"/>
      <w:r>
        <w:rPr>
          <w:b/>
          <w:bCs/>
          <w:lang w:val="vi-VN"/>
        </w:rPr>
        <w:t xml:space="preserve"> </w:t>
      </w:r>
      <w:r>
        <w:rPr>
          <w:b/>
          <w:bCs/>
          <w:lang w:val="nl-NL"/>
        </w:rPr>
        <w:t>ngày 11 tháng 11 năm 2016 của Bộ trưởng Bộ Tài chính quy định mức thu, chế độ thu, nộp, quản lý</w:t>
      </w:r>
      <w:r>
        <w:rPr>
          <w:b/>
          <w:bCs/>
          <w:lang w:val="nl-NL"/>
        </w:rPr>
        <w:t xml:space="preserve"> và sử dụng phí nhượng quyền khai thác cảng hàng không, sân bay</w:t>
      </w:r>
    </w:p>
    <w:p w:rsidR="00000000" w:rsidRDefault="00FE4C44">
      <w:pPr>
        <w:spacing w:after="120"/>
      </w:pPr>
      <w:r>
        <w:rPr>
          <w:b/>
          <w:bCs/>
          <w:lang w:val="nl-NL"/>
        </w:rPr>
        <w:t>“Điều 6. Quản lý và sử dụng phí</w:t>
      </w:r>
    </w:p>
    <w:p w:rsidR="00000000" w:rsidRDefault="00FE4C44">
      <w:pPr>
        <w:spacing w:after="120"/>
      </w:pPr>
      <w:r>
        <w:rPr>
          <w:lang w:val="nl-NL"/>
        </w:rPr>
        <w:lastRenderedPageBreak/>
        <w:t>1. Cảng vụ hàng không miền Bắc: Trích để lại 45% để trang trải chi phí hoạt động cung cấp dịch vụ, thu phí theo quy định; chuyển về Cục Hàng không Việt Nam 14%;</w:t>
      </w:r>
      <w:r>
        <w:rPr>
          <w:lang w:val="nl-NL"/>
        </w:rPr>
        <w:t xml:space="preserve"> nộp ngân sách nhà nước: 41%.</w:t>
      </w:r>
    </w:p>
    <w:p w:rsidR="00000000" w:rsidRDefault="00FE4C44">
      <w:pPr>
        <w:spacing w:after="120"/>
      </w:pPr>
      <w:r>
        <w:rPr>
          <w:lang w:val="nl-NL"/>
        </w:rPr>
        <w:t>2. Cảng vụ hàng không miền Trung: Trích để lại 52% để trang trải chi phí hoạt động cung cấp dịch vụ, thu phí theo quy định; chuyển về Cục Hàng không Việt Nam 4%; nộp ngân sách nhà nước 44%.</w:t>
      </w:r>
    </w:p>
    <w:p w:rsidR="00000000" w:rsidRDefault="00FE4C44">
      <w:pPr>
        <w:spacing w:after="120"/>
      </w:pPr>
      <w:r>
        <w:rPr>
          <w:lang w:val="nl-NL"/>
        </w:rPr>
        <w:t>3. Cảng vụ hàng không miền Nam: Tríc</w:t>
      </w:r>
      <w:r>
        <w:rPr>
          <w:lang w:val="nl-NL"/>
        </w:rPr>
        <w:t>h để lại 43% để trang trải chi phí hoạt động cung cấp dịch vụ, thu phí theo quy định; chuyển về Cục Hàng không Việt Nam 18%; nộp ngân sách nhà nước 39%.</w:t>
      </w:r>
    </w:p>
    <w:p w:rsidR="00000000" w:rsidRDefault="00FE4C44">
      <w:pPr>
        <w:spacing w:after="120"/>
      </w:pPr>
      <w:r>
        <w:rPr>
          <w:lang w:val="nl-NL"/>
        </w:rPr>
        <w:t xml:space="preserve">4. Tổ chức thu phí (các Cảng vụ hàng không) quản lý và sử dụng tiền phí được để lại theo quy định tại </w:t>
      </w:r>
      <w:bookmarkStart w:id="4" w:name="dc_5"/>
      <w:r>
        <w:rPr>
          <w:lang w:val="nl-NL"/>
        </w:rPr>
        <w:t>Đ</w:t>
      </w:r>
      <w:r>
        <w:rPr>
          <w:lang w:val="nl-NL"/>
        </w:rPr>
        <w:t>iều 5 Nghị định số 120/2016/NĐ-CP</w:t>
      </w:r>
      <w:bookmarkEnd w:id="4"/>
      <w:r>
        <w:rPr>
          <w:lang w:val="nl-NL"/>
        </w:rPr>
        <w:t xml:space="preserve"> ngày 23 tháng 8 năm 2016 của Chính phủ quy định chi tiết thi hành Luật phí và lệ phí</w:t>
      </w:r>
      <w:r>
        <w:rPr>
          <w:b/>
          <w:bCs/>
          <w:i/>
          <w:iCs/>
          <w:lang w:val="nl-NL"/>
        </w:rPr>
        <w:t xml:space="preserve">; </w:t>
      </w:r>
      <w:r>
        <w:rPr>
          <w:lang w:val="nl-NL"/>
        </w:rPr>
        <w:t>bao gồm cả chi:bồi dưỡng nâng cao trình độ nghiệp vụ chuyên môn theo quy định tại Nghịđịnh số 101/2017/NĐ-CP ngày 01 tháng 9 năm 2017 củ</w:t>
      </w:r>
      <w:r>
        <w:rPr>
          <w:lang w:val="nl-NL"/>
        </w:rPr>
        <w:t>a Chính phủ về chi đào tạo, bồi dưỡng cán bộ, công chức, viên chức; đo đạc, phân định ranh giới quân sự và dân sự tại các cảng hàng không, sân bay (phần do các cảng vụ hàng không quản lý); thuê nhà làm việc cho các Đại diện cảng vụ hàng không (nếu có).</w:t>
      </w:r>
    </w:p>
    <w:p w:rsidR="00000000" w:rsidRDefault="00FE4C44">
      <w:pPr>
        <w:spacing w:after="120"/>
      </w:pPr>
      <w:r>
        <w:rPr>
          <w:lang w:val="nl-NL"/>
        </w:rPr>
        <w:t xml:space="preserve">5. </w:t>
      </w:r>
      <w:r>
        <w:rPr>
          <w:lang w:val="nl-NL"/>
        </w:rPr>
        <w:t>Cục Hàng không Việt Nam sử dụng số tiền phí nhượng quyền khai thác cảng hàng không, sân bay cho hoạt động quản lý nhà nước theo quy định của pháp luật về ngân sách nhà nước; pháp luật phí, lệ phí và theo quy định của Thủ tướng Chính phủ về cơ chế tài chính</w:t>
      </w:r>
      <w:r>
        <w:rPr>
          <w:lang w:val="nl-NL"/>
        </w:rPr>
        <w:t xml:space="preserve"> đặc thù của Cục Hàng không Việt Nam.”</w:t>
      </w:r>
    </w:p>
    <w:p w:rsidR="00000000" w:rsidRDefault="00FE4C44">
      <w:pPr>
        <w:spacing w:after="120"/>
      </w:pPr>
      <w:r>
        <w:rPr>
          <w:b/>
          <w:bCs/>
          <w:lang w:val="nl-NL"/>
        </w:rPr>
        <w:t>Điều 3. Hiệu lực thi hành</w:t>
      </w:r>
    </w:p>
    <w:p w:rsidR="00000000" w:rsidRDefault="00FE4C44">
      <w:pPr>
        <w:spacing w:after="120"/>
      </w:pPr>
      <w:r>
        <w:rPr>
          <w:lang w:val="nl-NL"/>
        </w:rPr>
        <w:t>1. Thông tư này có hiệu lực thi hành kể từ ngày 01 tháng 7 năm 2019.</w:t>
      </w:r>
    </w:p>
    <w:p w:rsidR="00000000" w:rsidRDefault="00FE4C44">
      <w:pPr>
        <w:spacing w:after="120"/>
      </w:pPr>
      <w:r>
        <w:rPr>
          <w:lang w:val="nl-NL"/>
        </w:rPr>
        <w:t>2. Trong quá trình thực hiện, nếu có vướng mắc đề nghị các tổ chức, cá nhân phản ánh kịp thời về Bộ Tài chính để nghiên cứ</w:t>
      </w:r>
      <w:r>
        <w:rPr>
          <w:lang w:val="nl-NL"/>
        </w:rPr>
        <w:t>u, hướng dẫn bổ sung./.</w:t>
      </w:r>
    </w:p>
    <w:p w:rsidR="00000000" w:rsidRDefault="00FE4C44">
      <w:pPr>
        <w:spacing w:after="120"/>
      </w:pPr>
      <w:r>
        <w:rPr>
          <w:lang w:val="nl-NL"/>
        </w:rPr>
        <w:t> </w:t>
      </w:r>
    </w:p>
    <w:tbl>
      <w:tblPr>
        <w:tblW w:w="0" w:type="auto"/>
        <w:tblBorders>
          <w:top w:val="nil"/>
          <w:bottom w:val="nil"/>
          <w:insideH w:val="nil"/>
          <w:insideV w:val="nil"/>
        </w:tblBorders>
        <w:tblCellMar>
          <w:left w:w="0" w:type="dxa"/>
          <w:right w:w="0" w:type="dxa"/>
        </w:tblCellMar>
        <w:tblLook w:val="04A0"/>
      </w:tblPr>
      <w:tblGrid>
        <w:gridCol w:w="5393"/>
        <w:gridCol w:w="3967"/>
      </w:tblGrid>
      <w:tr w:rsidR="00000000">
        <w:tc>
          <w:tcPr>
            <w:tcW w:w="5393"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E4C44">
            <w:pPr>
              <w:spacing w:after="120"/>
            </w:pPr>
            <w:r>
              <w:rPr>
                <w:b/>
                <w:bCs/>
                <w:i/>
                <w:iCs/>
                <w:sz w:val="16"/>
                <w:lang w:val="nl-NL"/>
              </w:rPr>
              <w:t> </w:t>
            </w:r>
          </w:p>
          <w:p w:rsidR="00000000" w:rsidRDefault="00FE4C44">
            <w:r>
              <w:rPr>
                <w:b/>
                <w:bCs/>
                <w:i/>
                <w:iCs/>
                <w:lang w:val="nl-NL"/>
              </w:rPr>
              <w:t>Nơi nhận:</w:t>
            </w:r>
            <w:r>
              <w:rPr>
                <w:b/>
                <w:bCs/>
                <w:i/>
                <w:iCs/>
                <w:lang w:val="nl-NL"/>
              </w:rPr>
              <w:br/>
            </w:r>
            <w:r>
              <w:rPr>
                <w:sz w:val="16"/>
                <w:lang w:val="nl-NL"/>
              </w:rPr>
              <w:t>- Văn phòng Trung ương và các Ban của Đảng;</w:t>
            </w:r>
            <w:r>
              <w:rPr>
                <w:sz w:val="16"/>
                <w:lang w:val="nl-NL"/>
              </w:rPr>
              <w:br/>
              <w:t>- Văn phòng Tổng Bí thư;</w:t>
            </w:r>
            <w:r>
              <w:rPr>
                <w:sz w:val="16"/>
                <w:lang w:val="nl-NL"/>
              </w:rPr>
              <w:br/>
              <w:t>- Văn phòng Quốc hội;</w:t>
            </w:r>
            <w:r>
              <w:rPr>
                <w:sz w:val="16"/>
                <w:lang w:val="nl-NL"/>
              </w:rPr>
              <w:br/>
              <w:t>- Văn phòng Chủ tịch nước;</w:t>
            </w:r>
            <w:r>
              <w:rPr>
                <w:sz w:val="16"/>
                <w:lang w:val="nl-NL"/>
              </w:rPr>
              <w:br/>
              <w:t>- Viện Kiểm sát nhân dân tối cao;</w:t>
            </w:r>
            <w:r>
              <w:rPr>
                <w:sz w:val="16"/>
                <w:lang w:val="nl-NL"/>
              </w:rPr>
              <w:br/>
              <w:t>- Toà án nhân dân tối cao;</w:t>
            </w:r>
            <w:r>
              <w:rPr>
                <w:sz w:val="16"/>
                <w:lang w:val="nl-NL"/>
              </w:rPr>
              <w:br/>
              <w:t>- Kiểm toán nhà nước;</w:t>
            </w:r>
            <w:r>
              <w:rPr>
                <w:sz w:val="16"/>
                <w:lang w:val="nl-NL"/>
              </w:rPr>
              <w:br/>
              <w:t>- Các Bộ, cơ quan</w:t>
            </w:r>
            <w:r>
              <w:rPr>
                <w:sz w:val="16"/>
                <w:lang w:val="nl-NL"/>
              </w:rPr>
              <w:t xml:space="preserve"> ngang Bộ, cơ quan thuộc Chính phủ;</w:t>
            </w:r>
            <w:r>
              <w:rPr>
                <w:sz w:val="16"/>
                <w:lang w:val="nl-NL"/>
              </w:rPr>
              <w:br/>
              <w:t>- Cơ quan Trung ương của các đoàn thể;</w:t>
            </w:r>
            <w:r>
              <w:rPr>
                <w:sz w:val="16"/>
                <w:lang w:val="nl-NL"/>
              </w:rPr>
              <w:br/>
              <w:t>- UBNDcác tỉnh, thành phố trực thuộc Trung ương;</w:t>
            </w:r>
            <w:r>
              <w:rPr>
                <w:sz w:val="16"/>
                <w:lang w:val="nl-NL"/>
              </w:rPr>
              <w:br/>
              <w:t>- Sở Tài chính, Cục Thuế, Kho bạc Nhà nước các thành phố: Hà Nội, Đà Nẵng, Hồ Chí Minh;</w:t>
            </w:r>
            <w:r>
              <w:rPr>
                <w:sz w:val="16"/>
                <w:lang w:val="nl-NL"/>
              </w:rPr>
              <w:br/>
              <w:t>- Công báo;</w:t>
            </w:r>
            <w:r>
              <w:rPr>
                <w:sz w:val="16"/>
                <w:lang w:val="nl-NL"/>
              </w:rPr>
              <w:br/>
              <w:t>- Cổng thông tin điện tử Chính p</w:t>
            </w:r>
            <w:r>
              <w:rPr>
                <w:sz w:val="16"/>
                <w:lang w:val="nl-NL"/>
              </w:rPr>
              <w:t>hủ;</w:t>
            </w:r>
            <w:r>
              <w:rPr>
                <w:sz w:val="16"/>
                <w:lang w:val="nl-NL"/>
              </w:rPr>
              <w:br/>
              <w:t>- Cục Kiểm tra văn bản (Bộ Tư pháp);</w:t>
            </w:r>
            <w:r>
              <w:rPr>
                <w:sz w:val="16"/>
                <w:lang w:val="nl-NL"/>
              </w:rPr>
              <w:br/>
              <w:t>- Các đơn vị thuộc Bộ Tài chính;</w:t>
            </w:r>
            <w:r>
              <w:rPr>
                <w:sz w:val="16"/>
                <w:lang w:val="nl-NL"/>
              </w:rPr>
              <w:br/>
              <w:t>- Cổng thông tin điện tử Bộ Tài chính;</w:t>
            </w:r>
            <w:r>
              <w:rPr>
                <w:sz w:val="16"/>
                <w:lang w:val="nl-NL"/>
              </w:rPr>
              <w:br/>
            </w:r>
            <w:r>
              <w:rPr>
                <w:sz w:val="16"/>
              </w:rPr>
              <w:t>- Lưu: VT, CST (CST5).</w:t>
            </w:r>
          </w:p>
        </w:tc>
        <w:tc>
          <w:tcPr>
            <w:tcW w:w="3967"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E4C44">
            <w:pPr>
              <w:jc w:val="center"/>
            </w:pPr>
            <w:r>
              <w:rPr>
                <w:b/>
                <w:bCs/>
                <w:lang w:val="nl-NL"/>
              </w:rPr>
              <w:t>KT. BỘ TRƯỞNG</w:t>
            </w:r>
            <w:r>
              <w:rPr>
                <w:b/>
                <w:bCs/>
                <w:lang w:val="nl-NL"/>
              </w:rPr>
              <w:br/>
              <w:t>THỨ TRƯỞNG</w:t>
            </w:r>
            <w:r>
              <w:rPr>
                <w:b/>
                <w:bCs/>
                <w:lang w:val="nl-NL"/>
              </w:rPr>
              <w:br/>
            </w:r>
            <w:r>
              <w:rPr>
                <w:b/>
                <w:bCs/>
                <w:lang w:val="nl-NL"/>
              </w:rPr>
              <w:br/>
            </w:r>
            <w:r>
              <w:rPr>
                <w:b/>
                <w:bCs/>
                <w:lang w:val="nl-NL"/>
              </w:rPr>
              <w:br/>
            </w:r>
            <w:r>
              <w:rPr>
                <w:b/>
                <w:bCs/>
                <w:lang w:val="nl-NL"/>
              </w:rPr>
              <w:br/>
            </w:r>
            <w:r>
              <w:rPr>
                <w:b/>
                <w:bCs/>
                <w:lang w:val="nl-NL"/>
              </w:rPr>
              <w:br/>
              <w:t>Vũ Thị Mai</w:t>
            </w:r>
          </w:p>
        </w:tc>
      </w:tr>
    </w:tbl>
    <w:p w:rsidR="00000000" w:rsidRDefault="00FE4C44">
      <w:pPr>
        <w:spacing w:after="120"/>
      </w:pPr>
      <w:r>
        <w:t> </w:t>
      </w:r>
    </w:p>
    <w:p w:rsidR="00000000" w:rsidRDefault="00FE4C44">
      <w:pPr>
        <w:spacing w:after="120"/>
      </w:pPr>
      <w:r>
        <w:t> </w:t>
      </w:r>
    </w:p>
    <w:p w:rsidR="00FE4C44" w:rsidRDefault="00FE4C44">
      <w:pPr>
        <w:spacing w:after="280" w:afterAutospacing="1"/>
      </w:pPr>
      <w:r>
        <w:rPr>
          <w:b/>
          <w:bCs/>
        </w:rPr>
        <w:t> </w:t>
      </w:r>
    </w:p>
    <w:sectPr w:rsidR="00FE4C4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4D1714"/>
    <w:rsid w:val="004D1714"/>
    <w:rsid w:val="00FE4C44"/>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Binh</dc:creator>
  <cp:lastModifiedBy>Miss Binh</cp:lastModifiedBy>
  <cp:revision>2</cp:revision>
  <cp:lastPrinted>1601-01-01T00:00:00Z</cp:lastPrinted>
  <dcterms:created xsi:type="dcterms:W3CDTF">2019-05-21T01:45:00Z</dcterms:created>
  <dcterms:modified xsi:type="dcterms:W3CDTF">2019-05-21T01:45:00Z</dcterms:modified>
</cp:coreProperties>
</file>